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6742E" w:rsidRPr="00B6742E" w:rsidTr="00B6742E">
        <w:trPr>
          <w:trHeight w:val="2956"/>
          <w:jc w:val="center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2E" w:rsidRPr="00B6742E" w:rsidRDefault="00B6742E" w:rsidP="00B6742E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color w:val="000091"/>
                <w:sz w:val="36"/>
                <w:szCs w:val="36"/>
              </w:rPr>
            </w:pPr>
            <w:r w:rsidRPr="00B6742E">
              <w:rPr>
                <w:rFonts w:ascii="Cambria" w:eastAsia="Calibri" w:hAnsi="Cambria" w:cs="Calibri"/>
                <w:b/>
                <w:noProof/>
                <w:color w:val="000091"/>
                <w:sz w:val="36"/>
                <w:szCs w:val="36"/>
                <w:lang w:eastAsia="fr-FR"/>
              </w:rPr>
              <w:drawing>
                <wp:inline distT="0" distB="0" distL="0" distR="0" wp14:anchorId="55550527" wp14:editId="1421371F">
                  <wp:extent cx="5663134" cy="2838615"/>
                  <wp:effectExtent l="0" t="0" r="0" b="0"/>
                  <wp:docPr id="7" name="Image 3" descr="cid:image004.png@01D95E37.18ECBA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id:image004.png@01D95E37.18ECBA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4628" cy="2844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742E" w:rsidRPr="00B6742E" w:rsidRDefault="00B6742E" w:rsidP="00B6742E">
      <w:pPr>
        <w:spacing w:after="0" w:line="240" w:lineRule="auto"/>
        <w:rPr>
          <w:rFonts w:ascii="Cambria" w:eastAsia="Calibri" w:hAnsi="Cambria" w:cs="Calibri"/>
          <w:b/>
          <w:bCs/>
          <w:color w:val="000091"/>
          <w:sz w:val="36"/>
          <w:szCs w:val="36"/>
        </w:rPr>
      </w:pPr>
    </w:p>
    <w:tbl>
      <w:tblPr>
        <w:tblW w:w="9019" w:type="dxa"/>
        <w:jc w:val="center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09"/>
        <w:gridCol w:w="8610"/>
      </w:tblGrid>
      <w:tr w:rsidR="00B6742E" w:rsidRPr="00B6742E" w:rsidTr="00B6742E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42E" w:rsidRPr="00B6742E" w:rsidRDefault="00B6742E" w:rsidP="00B6742E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</w:pPr>
            <w:r w:rsidRPr="00B6742E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>Lettre N° 5 – Mars 2024</w:t>
            </w:r>
            <w:bookmarkStart w:id="0" w:name="_GoBack"/>
            <w:bookmarkEnd w:id="0"/>
          </w:p>
          <w:p w:rsidR="00B6742E" w:rsidRPr="00B6742E" w:rsidRDefault="00B6742E" w:rsidP="00B6742E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 xml:space="preserve">Chaque trimestre, l’Agence régionale de santé et le Gérontopôle Auvergne-Rhône-Alpes </w:t>
            </w:r>
            <w:r w:rsidRPr="00B6742E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 xml:space="preserve">vous informent sur la déclinaison du Plan national antichute des personnes âgées </w:t>
            </w:r>
            <w:r w:rsidRPr="00B6742E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>de 65 ans et + dans notre région.</w:t>
            </w:r>
          </w:p>
        </w:tc>
      </w:tr>
      <w:tr w:rsidR="00B6742E" w:rsidRPr="00B6742E" w:rsidTr="00B6742E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42E" w:rsidRPr="00B6742E" w:rsidRDefault="00B6742E" w:rsidP="00B6742E">
            <w:pPr>
              <w:spacing w:before="48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 w:rsidRPr="00B6742E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DÉVELOPPER DES ACTIONS DE PRÉVENTION EN EHPAD ET SSIAD : </w:t>
            </w:r>
            <w:r w:rsidRPr="00B6742E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br/>
              <w:t xml:space="preserve">NOUVEL APPEL À CANDIDATURES </w:t>
            </w:r>
          </w:p>
        </w:tc>
      </w:tr>
      <w:tr w:rsidR="00B6742E" w:rsidRPr="00B6742E" w:rsidTr="00B6742E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42E" w:rsidRPr="00B6742E" w:rsidRDefault="00B6742E" w:rsidP="00B6742E">
            <w:pPr>
              <w:spacing w:after="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</w:p>
        </w:tc>
      </w:tr>
      <w:tr w:rsidR="00B6742E" w:rsidRPr="00B6742E" w:rsidTr="00B6742E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2E" w:rsidRPr="00B6742E" w:rsidRDefault="00B6742E" w:rsidP="00B6742E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sz w:val="19"/>
                <w:szCs w:val="19"/>
              </w:rPr>
              <w:t>La prévention est un levier pour favoriser le maintien à domicile des personnes fragilisées, tout en évitant les chutes. Comme en 2023, l’ARS a donc lancé son appel à candidatures pour le développement d’actions de prévention portées par les EHPAD et les SSIAD de notre région.</w:t>
            </w:r>
          </w:p>
          <w:p w:rsidR="00B6742E" w:rsidRPr="00B6742E" w:rsidRDefault="00B6742E" w:rsidP="00B6742E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 xml:space="preserve">Objectifs : </w:t>
            </w:r>
          </w:p>
          <w:p w:rsidR="00B6742E" w:rsidRPr="00B6742E" w:rsidRDefault="00B6742E" w:rsidP="00B6742E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 w:rsidRPr="00B6742E">
              <w:rPr>
                <w:rFonts w:ascii="Marianne" w:eastAsia="Calibri" w:hAnsi="Marianne" w:cs="Calibri"/>
                <w:sz w:val="19"/>
                <w:szCs w:val="19"/>
              </w:rPr>
              <w:t>améliorer</w:t>
            </w:r>
            <w:proofErr w:type="gramEnd"/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 le bien-être et le maintien de l’autonomie des personnes de plus de 65 ans à leur domicile, et des résidents d’établissements ;</w:t>
            </w:r>
          </w:p>
          <w:p w:rsidR="00B6742E" w:rsidRPr="00B6742E" w:rsidRDefault="00B6742E" w:rsidP="00B6742E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 w:rsidRPr="00B6742E">
              <w:rPr>
                <w:rFonts w:ascii="Marianne" w:eastAsia="Calibri" w:hAnsi="Marianne" w:cs="Calibri"/>
                <w:sz w:val="19"/>
                <w:szCs w:val="19"/>
              </w:rPr>
              <w:t>prévenir</w:t>
            </w:r>
            <w:proofErr w:type="gramEnd"/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 les chutes.</w:t>
            </w:r>
          </w:p>
          <w:p w:rsidR="00B6742E" w:rsidRPr="00B6742E" w:rsidRDefault="00B6742E" w:rsidP="00B6742E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Ces actions devront être </w:t>
            </w:r>
            <w:r w:rsidRPr="00B6742E">
              <w:rPr>
                <w:rFonts w:ascii="Marianne" w:eastAsia="Calibri" w:hAnsi="Marianne" w:cs="Calibri"/>
                <w:b/>
                <w:sz w:val="19"/>
                <w:szCs w:val="19"/>
              </w:rPr>
              <w:t xml:space="preserve">collectives, partenariales, ouvrant l’EHPAD sur l’extérieur. </w:t>
            </w:r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Les projets présentés devront être portés en </w:t>
            </w:r>
            <w:r w:rsidRPr="00B6742E">
              <w:rPr>
                <w:rFonts w:ascii="Marianne" w:eastAsia="Calibri" w:hAnsi="Marianne" w:cs="Calibri"/>
                <w:b/>
                <w:sz w:val="19"/>
                <w:szCs w:val="19"/>
              </w:rPr>
              <w:t>mutualisation avec au moins 2 structures de proximité</w:t>
            </w:r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 (lieux d’accueil de personnes âgées, résidences autonomie, hôpitaux, CCAS, associations sportives, maisons de santé pluriprofessionnelles, Communautés professionnelles territoriales de santé (CPTS), services à domicile).</w:t>
            </w:r>
          </w:p>
          <w:p w:rsidR="00B6742E" w:rsidRPr="00B6742E" w:rsidRDefault="00B6742E" w:rsidP="00B6742E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Les projets devront relever des </w:t>
            </w:r>
            <w:r w:rsidRPr="00B6742E">
              <w:rPr>
                <w:rFonts w:ascii="Marianne" w:eastAsia="Calibri" w:hAnsi="Marianne" w:cs="Calibri"/>
                <w:b/>
                <w:sz w:val="19"/>
                <w:szCs w:val="19"/>
              </w:rPr>
              <w:t>7 thématiques</w:t>
            </w:r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 concourant à la prévention des chutes graves et invalidantes ; celles-ci sont précisées dans le cahier des charges tout comme les modalités d’évaluation.</w:t>
            </w:r>
          </w:p>
          <w:p w:rsidR="00B6742E" w:rsidRPr="00B6742E" w:rsidRDefault="00B6742E" w:rsidP="00B6742E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b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>Calendrier :</w:t>
            </w:r>
          </w:p>
          <w:p w:rsidR="00B6742E" w:rsidRPr="00B6742E" w:rsidRDefault="00B6742E" w:rsidP="00B6742E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sz w:val="19"/>
                <w:szCs w:val="19"/>
              </w:rPr>
              <w:t>Dépôt des projets par les gestionnaires d’EHPAD et de SSIAD : jusqu’au 22 avril 2024.</w:t>
            </w:r>
          </w:p>
          <w:p w:rsidR="00B6742E" w:rsidRPr="00B6742E" w:rsidRDefault="00B6742E" w:rsidP="00B6742E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sz w:val="19"/>
                <w:szCs w:val="19"/>
              </w:rPr>
              <w:t>Sélection des projets : 19 juillet 2024.</w:t>
            </w:r>
          </w:p>
          <w:p w:rsidR="00B6742E" w:rsidRPr="00B6742E" w:rsidRDefault="00B6742E" w:rsidP="00B6742E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sz w:val="19"/>
                <w:szCs w:val="19"/>
              </w:rPr>
              <w:t>Mise en œuvre : 2024-2025</w:t>
            </w:r>
          </w:p>
          <w:p w:rsidR="00B6742E" w:rsidRPr="00B6742E" w:rsidRDefault="009C5068" w:rsidP="00B6742E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Calibri" w:eastAsia="Calibri" w:hAnsi="Calibri" w:cs="Calibr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3571A2" wp14:editId="74693065">
                      <wp:simplePos x="0" y="0"/>
                      <wp:positionH relativeFrom="margin">
                        <wp:posOffset>973538</wp:posOffset>
                      </wp:positionH>
                      <wp:positionV relativeFrom="paragraph">
                        <wp:posOffset>209633</wp:posOffset>
                      </wp:positionV>
                      <wp:extent cx="3343275" cy="603885"/>
                      <wp:effectExtent l="0" t="0" r="28575" b="24765"/>
                      <wp:wrapNone/>
                      <wp:docPr id="2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43275" cy="603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FFF9"/>
                              </a:solidFill>
                              <a:ln w="6350">
                                <a:solidFill>
                                  <a:srgbClr val="5770BE">
                                    <a:lumMod val="40000"/>
                                    <a:lumOff val="60000"/>
                                  </a:srgbClr>
                                </a:solidFill>
                              </a:ln>
                            </wps:spPr>
                            <wps:txbx>
                              <w:txbxContent>
                                <w:p w:rsidR="00B6742E" w:rsidRPr="00B6742E" w:rsidRDefault="00B6742E" w:rsidP="00B6742E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Marianne" w:hAnsi="Marianne"/>
                                      <w:b/>
                                      <w:noProof/>
                                      <w:color w:val="000091"/>
                                      <w:sz w:val="19"/>
                                      <w:szCs w:val="19"/>
                                      <w:lang w:eastAsia="fr-FR"/>
                                    </w:rPr>
                                  </w:pPr>
                                  <w:hyperlink r:id="rId6" w:history="1">
                                    <w:r w:rsidRPr="00B6742E">
                                      <w:rPr>
                                        <w:rStyle w:val="Lienhypertexte"/>
                                        <w:rFonts w:ascii="Marianne" w:hAnsi="Marianne"/>
                                        <w:b/>
                                        <w:color w:val="000091"/>
                                        <w:sz w:val="19"/>
                                        <w:szCs w:val="19"/>
                                        <w:lang w:eastAsia="fr-FR"/>
                                      </w:rPr>
                                      <w:t>Toutes les informations</w:t>
                                    </w:r>
                                    <w:r w:rsidRPr="00B6742E">
                                      <w:rPr>
                                        <w:rFonts w:ascii="Marianne" w:hAnsi="Marianne"/>
                                        <w:b/>
                                        <w:color w:val="000091"/>
                                        <w:sz w:val="19"/>
                                        <w:szCs w:val="19"/>
                                        <w:u w:val="single"/>
                                        <w:lang w:eastAsia="fr-FR"/>
                                      </w:rPr>
                                      <w:br/>
                                    </w:r>
                                    <w:r w:rsidRPr="00B6742E">
                                      <w:rPr>
                                        <w:rStyle w:val="Lienhypertexte"/>
                                        <w:rFonts w:ascii="Marianne" w:hAnsi="Marianne"/>
                                        <w:b/>
                                        <w:color w:val="000091"/>
                                        <w:sz w:val="19"/>
                                        <w:szCs w:val="19"/>
                                        <w:lang w:eastAsia="fr-FR"/>
                                      </w:rPr>
                                      <w:t>sur le site internet de l’ARS Auvergne-Rhône-Alpes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571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margin-left:76.65pt;margin-top:16.5pt;width:263.2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1AbdwIAAPoEAAAOAAAAZHJzL2Uyb0RvYy54bWysVE1vGyEQvVfqf0Dcm11/J1bWkRPXVSU3&#10;iZRUkXrDLGuvCgwF7F3n13eAdeKm7aWqDxhmHjPMmzd7edUqSfbCuhp0QXtnOSVCcyhrvSno18fl&#10;h3NKnGe6ZBK0KOhBOHo1e//usjFT0YctyFJYgkG0mzamoFvvzTTLHN8KxdwZGKHRWYFVzOPRbrLS&#10;sgajK5n183ycNWBLY4EL59C6SE46i/GrSnB/V1VOeCILim/zcbVxXYc1m12y6cYys6159wz2D69Q&#10;rNaY9CXUgnlGdrb+LZSquQUHlT/joDKoqpqLWANW08vfVPOwZUbEWpAcZ15ocv8vLL/d31tSlwXt&#10;U6KZwhZ9w0aRUhAvWi/IOFDUGDdF5INBrG+vocVWx3KdWQH/7hCSnWDSBYfoQElbWRX+sViCF7EL&#10;hxfmMQXhaBwMhoP+ZEQJR984H5yfj0Le7PW2sc5/EqBI2BTUYmfjC9h+5XyCHiEhmQNZl8tayniw&#10;m/WNtGTPUAWLxXK5vOii/wKTmjSYfTDKU21/DTGaTPLrjxEkd+oLlCnyMMdfUhSaUXfJPD6asRqX&#10;XhIrO8mNHqk7DhNtgU3frtuO/DWUB+TeQhKwM3xZIw8r5vw9s6hYZBWn0N/hUknAMqDbUbIF+/wn&#10;e8CjkNBLSYMTUFD3Y8esoER+1iixi95wGEYmHoajSR8P9tSzPvXonboBpLeH82543Aa8l8dtZUE9&#10;4bDOQ1Z0Mc0xd0H9cXvj01zisHMxn0cQDolhfqUfDD9KLnT5sX1i1nRSCDq9heOssOkbRSRskIGG&#10;+c5DVUe5BIITqx3vOGCxLd3HIEzw6TmiXj9Zs58AAAD//wMAUEsDBBQABgAIAAAAIQBZxAHJ3gAA&#10;AAoBAAAPAAAAZHJzL2Rvd25yZXYueG1sTI/BTsMwEETvSPyDtUhcEHWaiDaEOBVC6hWJUARHJ3bi&#10;iHid2m4T/p7lRI+jGc28KXeLHdlZ+zA4FLBeJcA0tk4N2As4vO/vc2AhSlRydKgF/OgAu+r6qpSF&#10;cjO+6XMde0YlGAopwMQ4FZyH1mgrw8pNGsnrnLcykvQ9V17OVG5HnibJhls5IC0YOekXo9vv+mQF&#10;zP7wUe/nLk/ujq/m2KRf3fbTCXF7szw/AYt6if9h+MMndKiIqXEnVIGNpB+yjKICsow+UWCzfaQv&#10;DTlpvgZelfzyQvULAAD//wMAUEsBAi0AFAAGAAgAAAAhALaDOJL+AAAA4QEAABMAAAAAAAAAAAAA&#10;AAAAAAAAAFtDb250ZW50X1R5cGVzXS54bWxQSwECLQAUAAYACAAAACEAOP0h/9YAAACUAQAACwAA&#10;AAAAAAAAAAAAAAAvAQAAX3JlbHMvLnJlbHNQSwECLQAUAAYACAAAACEAtzNQG3cCAAD6BAAADgAA&#10;AAAAAAAAAAAAAAAuAgAAZHJzL2Uyb0RvYy54bWxQSwECLQAUAAYACAAAACEAWcQByd4AAAAKAQAA&#10;DwAAAAAAAAAAAAAAAADRBAAAZHJzL2Rvd25yZXYueG1sUEsFBgAAAAAEAAQA8wAAANwFAAAAAA==&#10;" fillcolor="#ddfff9" strokecolor="#bcc6e5" strokeweight=".5pt">
                      <v:path arrowok="t"/>
                      <v:textbox>
                        <w:txbxContent>
                          <w:p w:rsidR="00B6742E" w:rsidRPr="00B6742E" w:rsidRDefault="00B6742E" w:rsidP="00B6742E">
                            <w:pPr>
                              <w:spacing w:before="120" w:after="120"/>
                              <w:jc w:val="center"/>
                              <w:rPr>
                                <w:rFonts w:ascii="Marianne" w:hAnsi="Marianne"/>
                                <w:b/>
                                <w:noProof/>
                                <w:color w:val="000091"/>
                                <w:sz w:val="19"/>
                                <w:szCs w:val="19"/>
                                <w:lang w:eastAsia="fr-FR"/>
                              </w:rPr>
                            </w:pPr>
                            <w:hyperlink r:id="rId7" w:history="1">
                              <w:r w:rsidRPr="00B6742E">
                                <w:rPr>
                                  <w:rStyle w:val="Lienhypertexte"/>
                                  <w:rFonts w:ascii="Marianne" w:hAnsi="Marianne"/>
                                  <w:b/>
                                  <w:color w:val="000091"/>
                                  <w:sz w:val="19"/>
                                  <w:szCs w:val="19"/>
                                  <w:lang w:eastAsia="fr-FR"/>
                                </w:rPr>
                                <w:t>Toutes les informations</w:t>
                              </w:r>
                              <w:r w:rsidRPr="00B6742E">
                                <w:rPr>
                                  <w:rFonts w:ascii="Marianne" w:hAnsi="Marianne"/>
                                  <w:b/>
                                  <w:color w:val="000091"/>
                                  <w:sz w:val="19"/>
                                  <w:szCs w:val="19"/>
                                  <w:u w:val="single"/>
                                  <w:lang w:eastAsia="fr-FR"/>
                                </w:rPr>
                                <w:br/>
                              </w:r>
                              <w:r w:rsidRPr="00B6742E">
                                <w:rPr>
                                  <w:rStyle w:val="Lienhypertexte"/>
                                  <w:rFonts w:ascii="Marianne" w:hAnsi="Marianne"/>
                                  <w:b/>
                                  <w:color w:val="000091"/>
                                  <w:sz w:val="19"/>
                                  <w:szCs w:val="19"/>
                                  <w:lang w:eastAsia="fr-FR"/>
                                </w:rPr>
                                <w:t>sur le site internet de l’ARS Auvergne-Rhône-Alpes</w:t>
                              </w:r>
                            </w:hyperlink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B6742E" w:rsidRPr="00B6742E" w:rsidRDefault="00B6742E" w:rsidP="00B6742E">
            <w:pPr>
              <w:spacing w:before="60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 w:rsidRPr="00B6742E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PLAN ANTICHUTE : PERSPECTIVES</w:t>
            </w:r>
          </w:p>
          <w:p w:rsidR="00B6742E" w:rsidRPr="00B6742E" w:rsidRDefault="00B6742E" w:rsidP="00B6742E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sz w:val="19"/>
                <w:szCs w:val="19"/>
              </w:rPr>
              <w:t>Le plan antichute des personnes âgées de 65 ans et plus est désormais quinquennal (2022-2026). Prochaines étapes :</w:t>
            </w:r>
          </w:p>
          <w:p w:rsidR="00B6742E" w:rsidRPr="00B6742E" w:rsidRDefault="00B6742E" w:rsidP="00B6742E">
            <w:pPr>
              <w:spacing w:before="120" w:after="0" w:line="240" w:lineRule="auto"/>
              <w:ind w:left="284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>2022-2023 :</w:t>
            </w:r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 travail de recueil de données spécifiques en Auvergne-Rhône-Alpes. Un </w:t>
            </w:r>
            <w:r w:rsidRPr="00B6742E">
              <w:rPr>
                <w:rFonts w:ascii="Marianne" w:eastAsia="Calibri" w:hAnsi="Marianne" w:cs="Calibri"/>
                <w:b/>
                <w:sz w:val="19"/>
                <w:szCs w:val="19"/>
              </w:rPr>
              <w:t xml:space="preserve">diagnostic territorial </w:t>
            </w:r>
            <w:r w:rsidRPr="00B6742E">
              <w:rPr>
                <w:rFonts w:ascii="Marianne" w:eastAsia="Calibri" w:hAnsi="Marianne" w:cs="Calibri"/>
                <w:sz w:val="19"/>
                <w:szCs w:val="19"/>
              </w:rPr>
              <w:t>mené par le Gérontopôle Auvergne-Rhône-Alpes a permis de mettre en lumière des actions pertinentes dans la région.</w:t>
            </w:r>
          </w:p>
          <w:p w:rsidR="00B6742E" w:rsidRPr="00B6742E" w:rsidRDefault="00B6742E" w:rsidP="00B6742E">
            <w:pPr>
              <w:spacing w:after="120" w:line="240" w:lineRule="auto"/>
              <w:ind w:left="284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La journée régionale du 17 octobre 2023 fut un </w:t>
            </w:r>
            <w:r w:rsidRPr="00B6742E">
              <w:rPr>
                <w:rFonts w:ascii="Marianne" w:eastAsia="Calibri" w:hAnsi="Marianne" w:cs="Calibri"/>
                <w:b/>
                <w:sz w:val="19"/>
                <w:szCs w:val="19"/>
              </w:rPr>
              <w:t>temps fort de rencontre</w:t>
            </w:r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 entre les différents professionnels de terrain et les instances. </w:t>
            </w:r>
          </w:p>
          <w:p w:rsidR="00B6742E" w:rsidRPr="00B6742E" w:rsidRDefault="00B6742E" w:rsidP="00B6742E">
            <w:pPr>
              <w:spacing w:before="120" w:after="0" w:line="240" w:lineRule="auto"/>
              <w:ind w:left="284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>2024-2025 :</w:t>
            </w:r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 mise en place de nouveaux groupes de travail avec 3 nouveaux axes : l’ostéoporose, </w:t>
            </w:r>
            <w:proofErr w:type="gramStart"/>
            <w:r w:rsidRPr="00B6742E">
              <w:rPr>
                <w:rFonts w:ascii="Marianne" w:eastAsia="Calibri" w:hAnsi="Marianne" w:cs="Calibri"/>
                <w:sz w:val="19"/>
                <w:szCs w:val="19"/>
              </w:rPr>
              <w:t>la iatrogénie</w:t>
            </w:r>
            <w:proofErr w:type="gramEnd"/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 médicamenteuse et le parcours du primo-chuteur. </w:t>
            </w:r>
          </w:p>
          <w:p w:rsidR="00B6742E" w:rsidRPr="00B6742E" w:rsidRDefault="00B6742E" w:rsidP="00B6742E">
            <w:pPr>
              <w:spacing w:after="120" w:line="240" w:lineRule="auto"/>
              <w:ind w:left="284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sz w:val="19"/>
                <w:szCs w:val="19"/>
              </w:rPr>
              <w:t>Des professionnels de terrain vont être associés à ces travaux qui seront lancés en avril 2024 par l’ARS avec le concours du Gérontopôle AURA.</w:t>
            </w:r>
          </w:p>
          <w:p w:rsidR="00B6742E" w:rsidRPr="00B6742E" w:rsidRDefault="00B6742E" w:rsidP="00B6742E">
            <w:pPr>
              <w:spacing w:before="360" w:after="120" w:line="240" w:lineRule="auto"/>
              <w:jc w:val="both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 w:rsidRPr="00B6742E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RESSOURCES </w:t>
            </w:r>
          </w:p>
          <w:p w:rsidR="00B6742E" w:rsidRPr="00B6742E" w:rsidRDefault="00B6742E" w:rsidP="00B6742E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b/>
                <w:color w:val="000091"/>
                <w:sz w:val="21"/>
                <w:szCs w:val="21"/>
              </w:rPr>
            </w:pPr>
            <w:r w:rsidRPr="00B6742E">
              <w:rPr>
                <w:rFonts w:ascii="Marianne" w:eastAsia="Calibri" w:hAnsi="Marianne" w:cs="Calibri"/>
                <w:b/>
                <w:color w:val="000091"/>
                <w:sz w:val="21"/>
                <w:szCs w:val="21"/>
              </w:rPr>
              <w:t>Nationales</w:t>
            </w:r>
          </w:p>
          <w:p w:rsidR="00B6742E" w:rsidRPr="00B6742E" w:rsidRDefault="00B6742E" w:rsidP="00B6742E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sz w:val="19"/>
                <w:szCs w:val="19"/>
              </w:rPr>
              <w:t>Depuis le 1</w:t>
            </w:r>
            <w:r w:rsidRPr="00B6742E">
              <w:rPr>
                <w:rFonts w:ascii="Marianne" w:eastAsia="Calibri" w:hAnsi="Marianne" w:cs="Calibri"/>
                <w:sz w:val="19"/>
                <w:szCs w:val="19"/>
                <w:vertAlign w:val="superscript"/>
              </w:rPr>
              <w:t>er</w:t>
            </w:r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 janvier 2024, l’aide </w:t>
            </w:r>
            <w:hyperlink r:id="rId8" w:history="1">
              <w:proofErr w:type="spellStart"/>
              <w:r w:rsidRPr="00B6742E">
                <w:rPr>
                  <w:rFonts w:ascii="Marianne" w:eastAsia="Calibri" w:hAnsi="Marianne" w:cs="Calibri"/>
                  <w:color w:val="2323FF"/>
                  <w:sz w:val="19"/>
                  <w:szCs w:val="19"/>
                  <w:u w:val="single"/>
                </w:rPr>
                <w:t>MaPrimeAdapt</w:t>
              </w:r>
              <w:proofErr w:type="spellEnd"/>
              <w:r w:rsidRPr="00B6742E">
                <w:rPr>
                  <w:rFonts w:ascii="Marianne" w:eastAsia="Calibri" w:hAnsi="Marianne" w:cs="Calibri"/>
                  <w:color w:val="2323FF"/>
                  <w:sz w:val="19"/>
                  <w:szCs w:val="19"/>
                  <w:u w:val="single"/>
                </w:rPr>
                <w:t>’</w:t>
              </w:r>
            </w:hyperlink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 finance la réalisation des travaux d’adaptation du logement pour les personnes âgées et celles en situation de handicap.</w:t>
            </w:r>
          </w:p>
          <w:p w:rsidR="00B6742E" w:rsidRPr="00B6742E" w:rsidRDefault="00B6742E" w:rsidP="00B6742E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L’académie de </w:t>
            </w:r>
            <w:hyperlink r:id="rId9" w:history="1">
              <w:r w:rsidRPr="00B6742E">
                <w:rPr>
                  <w:rFonts w:ascii="Marianne" w:eastAsia="Calibri" w:hAnsi="Marianne" w:cs="Calibri"/>
                  <w:color w:val="2323FF"/>
                  <w:sz w:val="19"/>
                  <w:szCs w:val="19"/>
                  <w:u w:val="single"/>
                </w:rPr>
                <w:t>lutte contre la dénutrition</w:t>
              </w:r>
            </w:hyperlink>
            <w:r w:rsidRPr="00B6742E">
              <w:rPr>
                <w:rFonts w:ascii="Marianne" w:eastAsia="Calibri" w:hAnsi="Marianne" w:cs="Calibri"/>
                <w:sz w:val="19"/>
                <w:szCs w:val="19"/>
              </w:rPr>
              <w:t>, issue du Collectif national de lutte contre la dénutrition possède un site internet ressources.</w:t>
            </w:r>
          </w:p>
          <w:p w:rsidR="00B6742E" w:rsidRPr="00B6742E" w:rsidRDefault="00B6742E" w:rsidP="00B6742E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Le </w:t>
            </w:r>
            <w:hyperlink r:id="rId10" w:history="1">
              <w:r w:rsidRPr="00B6742E">
                <w:rPr>
                  <w:rFonts w:ascii="Marianne" w:eastAsia="Calibri" w:hAnsi="Marianne" w:cs="Calibri"/>
                  <w:color w:val="2323FF"/>
                  <w:sz w:val="19"/>
                  <w:szCs w:val="19"/>
                  <w:u w:val="single"/>
                </w:rPr>
                <w:t>Centre de ressources et de preuves sur la prévention de la perte d’autonomie</w:t>
              </w:r>
            </w:hyperlink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 a été créé (Grand Chantier CNSA).</w:t>
            </w:r>
          </w:p>
          <w:p w:rsidR="00B6742E" w:rsidRPr="00B6742E" w:rsidRDefault="00B6742E" w:rsidP="00B6742E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b/>
                <w:color w:val="000091"/>
                <w:sz w:val="21"/>
                <w:szCs w:val="21"/>
              </w:rPr>
            </w:pPr>
            <w:r w:rsidRPr="00B6742E">
              <w:rPr>
                <w:rFonts w:ascii="Marianne" w:eastAsia="Calibri" w:hAnsi="Marianne" w:cs="Calibri"/>
                <w:b/>
                <w:color w:val="000091"/>
                <w:sz w:val="21"/>
                <w:szCs w:val="21"/>
              </w:rPr>
              <w:t>Régionales</w:t>
            </w:r>
          </w:p>
          <w:p w:rsidR="00B6742E" w:rsidRPr="00B6742E" w:rsidRDefault="00B6742E" w:rsidP="00B6742E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Découvrez les </w:t>
            </w:r>
            <w:hyperlink r:id="rId11" w:history="1">
              <w:r w:rsidRPr="00B6742E">
                <w:rPr>
                  <w:rFonts w:ascii="Marianne" w:eastAsia="Calibri" w:hAnsi="Marianne" w:cs="Calibri"/>
                  <w:color w:val="2323FF"/>
                  <w:sz w:val="19"/>
                  <w:szCs w:val="19"/>
                  <w:u w:val="single"/>
                </w:rPr>
                <w:t>maisons sport-santé</w:t>
              </w:r>
            </w:hyperlink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 les plus proches de chez vous grâce à la carte interactive.</w:t>
            </w:r>
          </w:p>
          <w:p w:rsidR="00B6742E" w:rsidRPr="00B6742E" w:rsidRDefault="00B6742E" w:rsidP="00B6742E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Les ateliers et conférences </w:t>
            </w:r>
            <w:hyperlink r:id="rId12" w:history="1">
              <w:r w:rsidRPr="00B6742E">
                <w:rPr>
                  <w:rFonts w:ascii="Marianne" w:eastAsia="Calibri" w:hAnsi="Marianne" w:cs="Calibri"/>
                  <w:color w:val="2323FF"/>
                  <w:sz w:val="19"/>
                  <w:szCs w:val="19"/>
                  <w:u w:val="single"/>
                </w:rPr>
                <w:t>« Bien vieillir »</w:t>
              </w:r>
            </w:hyperlink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 organisées par les caisses de retraite de l’</w:t>
            </w:r>
            <w:proofErr w:type="spellStart"/>
            <w:r w:rsidRPr="00B6742E">
              <w:rPr>
                <w:rFonts w:ascii="Marianne" w:eastAsia="Calibri" w:hAnsi="Marianne" w:cs="Calibri"/>
                <w:sz w:val="19"/>
                <w:szCs w:val="19"/>
              </w:rPr>
              <w:t>Interrégime</w:t>
            </w:r>
            <w:proofErr w:type="spellEnd"/>
            <w:r w:rsidRPr="00B6742E">
              <w:rPr>
                <w:rFonts w:ascii="Marianne" w:eastAsia="Calibri" w:hAnsi="Marianne" w:cs="Calibri"/>
                <w:sz w:val="19"/>
                <w:szCs w:val="19"/>
              </w:rPr>
              <w:t xml:space="preserve"> (toutes thématiques) sont regroupés dans la carte interactive dédiée.</w:t>
            </w:r>
          </w:p>
          <w:p w:rsidR="00B6742E" w:rsidRPr="00B6742E" w:rsidRDefault="00B6742E" w:rsidP="00B6742E">
            <w:pPr>
              <w:spacing w:after="0" w:line="240" w:lineRule="auto"/>
              <w:rPr>
                <w:rFonts w:ascii="Marianne" w:eastAsia="Calibri" w:hAnsi="Marianne" w:cs="Calibri"/>
                <w:i/>
                <w:sz w:val="19"/>
                <w:szCs w:val="19"/>
                <w:lang w:eastAsia="fr-FR"/>
              </w:rPr>
            </w:pPr>
          </w:p>
        </w:tc>
      </w:tr>
      <w:tr w:rsidR="00B6742E" w:rsidRPr="00B6742E" w:rsidTr="00B6742E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2E" w:rsidRPr="00B6742E" w:rsidRDefault="00B6742E" w:rsidP="00B6742E">
            <w:pPr>
              <w:spacing w:after="0" w:line="240" w:lineRule="auto"/>
              <w:rPr>
                <w:rFonts w:ascii="Marianne" w:eastAsia="Calibri" w:hAnsi="Marianne" w:cs="Calibri"/>
                <w:sz w:val="19"/>
                <w:szCs w:val="19"/>
                <w:lang w:eastAsia="fr-FR"/>
              </w:rPr>
            </w:pPr>
          </w:p>
        </w:tc>
      </w:tr>
      <w:tr w:rsidR="00B6742E" w:rsidRPr="00B6742E" w:rsidTr="00B6742E">
        <w:trPr>
          <w:jc w:val="center"/>
        </w:trPr>
        <w:tc>
          <w:tcPr>
            <w:tcW w:w="409" w:type="dxa"/>
            <w:vAlign w:val="center"/>
          </w:tcPr>
          <w:p w:rsidR="00B6742E" w:rsidRPr="00B6742E" w:rsidRDefault="00B6742E" w:rsidP="00B674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0" w:type="dxa"/>
            <w:shd w:val="clear" w:color="auto" w:fill="DDE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2E" w:rsidRPr="00B6742E" w:rsidRDefault="00B6742E" w:rsidP="00B6742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B6742E" w:rsidRPr="00B6742E" w:rsidRDefault="00B6742E" w:rsidP="00B6742E">
            <w:pPr>
              <w:spacing w:after="0" w:line="240" w:lineRule="auto"/>
              <w:jc w:val="center"/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</w:pPr>
            <w:r w:rsidRPr="00B6742E"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  <w:t>ARS Auvergne-Rhône-Alpes – Gérontopôle Auvergne Rhône-Alpes</w:t>
            </w:r>
          </w:p>
          <w:p w:rsidR="00B6742E" w:rsidRPr="00B6742E" w:rsidRDefault="00B6742E" w:rsidP="00B6742E">
            <w:pPr>
              <w:spacing w:after="0" w:line="240" w:lineRule="auto"/>
              <w:jc w:val="center"/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</w:pPr>
            <w:r w:rsidRPr="00B6742E">
              <w:rPr>
                <w:rFonts w:ascii="Marianne" w:eastAsia="Calibri" w:hAnsi="Marianne" w:cs="Calibri"/>
                <w:bCs/>
                <w:color w:val="000091"/>
                <w:sz w:val="18"/>
                <w:szCs w:val="19"/>
              </w:rPr>
              <w:t xml:space="preserve">Contacts : </w:t>
            </w:r>
            <w:hyperlink r:id="rId13" w:history="1">
              <w:r w:rsidRPr="00B6742E">
                <w:rPr>
                  <w:rFonts w:ascii="Marianne" w:eastAsia="Calibri" w:hAnsi="Marianne" w:cs="Calibri"/>
                  <w:bCs/>
                  <w:color w:val="5770BE"/>
                  <w:sz w:val="18"/>
                  <w:szCs w:val="19"/>
                  <w:u w:val="single"/>
                </w:rPr>
                <w:t>ars-ara-da-qualite@ars.sante.fr</w:t>
              </w:r>
            </w:hyperlink>
            <w:r w:rsidRPr="00B6742E"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  <w:t xml:space="preserve"> | </w:t>
            </w:r>
            <w:hyperlink r:id="rId14" w:history="1">
              <w:r w:rsidRPr="00B6742E">
                <w:rPr>
                  <w:rFonts w:ascii="Marianne" w:eastAsia="Calibri" w:hAnsi="Marianne" w:cs="Calibri"/>
                  <w:color w:val="5770BE"/>
                  <w:sz w:val="18"/>
                  <w:szCs w:val="19"/>
                  <w:u w:val="single"/>
                </w:rPr>
                <w:t>contact@gerontopole-aura.fr</w:t>
              </w:r>
            </w:hyperlink>
          </w:p>
          <w:p w:rsidR="00B6742E" w:rsidRPr="00B6742E" w:rsidRDefault="00B6742E" w:rsidP="00B6742E">
            <w:pPr>
              <w:spacing w:after="0" w:line="240" w:lineRule="auto"/>
              <w:rPr>
                <w:rFonts w:ascii="Calibri" w:eastAsia="Calibri" w:hAnsi="Calibri" w:cs="Calibri"/>
                <w:color w:val="FFFFFF"/>
              </w:rPr>
            </w:pPr>
          </w:p>
        </w:tc>
      </w:tr>
    </w:tbl>
    <w:p w:rsidR="00B6742E" w:rsidRPr="00B6742E" w:rsidRDefault="00B6742E" w:rsidP="00B6742E">
      <w:pPr>
        <w:spacing w:after="0" w:line="240" w:lineRule="auto"/>
        <w:rPr>
          <w:rFonts w:ascii="Marianne" w:eastAsia="Calibri" w:hAnsi="Marianne" w:cs="Times New Roman"/>
          <w:sz w:val="20"/>
        </w:rPr>
      </w:pPr>
    </w:p>
    <w:p w:rsidR="00B6742E" w:rsidRPr="00B6742E" w:rsidRDefault="00B6742E" w:rsidP="00B6742E">
      <w:pPr>
        <w:spacing w:after="0" w:line="240" w:lineRule="auto"/>
        <w:rPr>
          <w:rFonts w:ascii="Marianne" w:eastAsia="Calibri" w:hAnsi="Marianne" w:cs="Times New Roman"/>
          <w:sz w:val="20"/>
        </w:rPr>
      </w:pPr>
    </w:p>
    <w:p w:rsidR="009A35CE" w:rsidRPr="00B6742E" w:rsidRDefault="009C5068" w:rsidP="00B6742E"/>
    <w:sectPr w:rsidR="009A35CE" w:rsidRPr="00B6742E" w:rsidSect="001A390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48D4"/>
    <w:multiLevelType w:val="hybridMultilevel"/>
    <w:tmpl w:val="7638B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800C6"/>
    <w:multiLevelType w:val="hybridMultilevel"/>
    <w:tmpl w:val="CEBC7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25DD8"/>
    <w:multiLevelType w:val="hybridMultilevel"/>
    <w:tmpl w:val="E7764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D17CB"/>
    <w:multiLevelType w:val="hybridMultilevel"/>
    <w:tmpl w:val="E24CF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0D"/>
    <w:rsid w:val="00033EC8"/>
    <w:rsid w:val="001A390D"/>
    <w:rsid w:val="003E2AB7"/>
    <w:rsid w:val="009C5068"/>
    <w:rsid w:val="00B6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2E479BCD-CD38-4A02-B5CE-14B600B6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basedOn w:val="Policepardfaut"/>
    <w:uiPriority w:val="99"/>
    <w:semiHidden/>
    <w:unhideWhenUsed/>
    <w:rsid w:val="001A390D"/>
    <w:rPr>
      <w:color w:val="2323FF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1A39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ce-renov.gouv.fr/aides/maprimeadapt" TargetMode="External"/><Relationship Id="rId13" Type="http://schemas.openxmlformats.org/officeDocument/2006/relationships/hyperlink" Target="mailto:ars-ara-da-qualite@ars.sant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vergne-rhone-alpes.ars.sante.fr/appel-candidatures-2024-developper-des-actions-de-prevention-portees-par-les-ehpad-et-les-ssiad" TargetMode="External"/><Relationship Id="rId12" Type="http://schemas.openxmlformats.org/officeDocument/2006/relationships/hyperlink" Target="http://www.pourbienvieillir.fr/trouver-un-ateli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uvergne-rhone-alpes.ars.sante.fr/appel-candidatures-2024-developper-des-actions-de-prevention-portees-par-les-ehpad-et-les-ssiad" TargetMode="External"/><Relationship Id="rId11" Type="http://schemas.openxmlformats.org/officeDocument/2006/relationships/hyperlink" Target="https://www.sports.gouv.fr/decouvrez-les-maisons-sport-sante-les-plus-proches-de-chez-vous-389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cnsa.fr/grands-chantiers/centre-de-ressources-et-de-preuves-sur-la-prevention-de-la-perte-dautonom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uttecontreladenutrition.fr/" TargetMode="External"/><Relationship Id="rId14" Type="http://schemas.openxmlformats.org/officeDocument/2006/relationships/hyperlink" Target="mailto:contact.gerontopole@gerontopole-aur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PALACIOS, Pauline (ARS-ARA)</dc:creator>
  <cp:keywords/>
  <dc:description/>
  <cp:lastModifiedBy>PALACIOS, Pauline (ARS-ARA)</cp:lastModifiedBy>
  <cp:revision>3</cp:revision>
  <cp:lastPrinted>2024-07-01T13:47:00Z</cp:lastPrinted>
  <dcterms:created xsi:type="dcterms:W3CDTF">2024-07-01T13:48:00Z</dcterms:created>
  <dcterms:modified xsi:type="dcterms:W3CDTF">2024-07-01T13:48:00Z</dcterms:modified>
</cp:coreProperties>
</file>