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1741" w:rsidRPr="004D1741" w14:paraId="6E43A5BF" w14:textId="77777777" w:rsidTr="004D1741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9C6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4D1741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53182B97" wp14:editId="52730989">
                  <wp:extent cx="5709037" cy="2858958"/>
                  <wp:effectExtent l="0" t="0" r="6350" b="0"/>
                  <wp:docPr id="5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519" cy="286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A81E7" w14:textId="77777777" w:rsidR="004D1741" w:rsidRPr="004D1741" w:rsidRDefault="004D1741" w:rsidP="004D1741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19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09"/>
        <w:gridCol w:w="8610"/>
      </w:tblGrid>
      <w:tr w:rsidR="004D1741" w:rsidRPr="004D1741" w14:paraId="449608B3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5BF3" w14:textId="77777777" w:rsidR="004D1741" w:rsidRPr="004D1741" w:rsidRDefault="004D1741" w:rsidP="004D1741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Lettre N° </w:t>
            </w:r>
            <w:r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6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– </w:t>
            </w:r>
            <w:r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Juin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2024</w:t>
            </w:r>
          </w:p>
          <w:p w14:paraId="7A525BBB" w14:textId="77777777" w:rsidR="004D1741" w:rsidRPr="004D1741" w:rsidRDefault="004D1741" w:rsidP="004D1741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Gérontopôle Auvergne-Rhône-Alpes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4D1741" w:rsidRPr="004D1741" w14:paraId="6FBD325F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86EE" w14:textId="29C30330" w:rsidR="004D1741" w:rsidRPr="004D1741" w:rsidRDefault="00BC1358" w:rsidP="00BC1358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3 NOUVEAUX </w:t>
            </w:r>
            <w:r w:rsid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GROUPES DE TRAVAIL  </w:t>
            </w:r>
            <w:r w:rsidR="004D1741" w:rsidRP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</w:t>
            </w:r>
          </w:p>
        </w:tc>
      </w:tr>
      <w:tr w:rsidR="004D1741" w:rsidRPr="004D1741" w14:paraId="363D4E4C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6584" w14:textId="77777777" w:rsidR="004D1741" w:rsidRPr="004D1741" w:rsidRDefault="004D1741" w:rsidP="004D1741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4D1741" w:rsidRPr="004D1741" w14:paraId="50A66BCC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8F2D" w14:textId="5A68CEB7" w:rsidR="004D1741" w:rsidRPr="004D1741" w:rsidRDefault="0034511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L’année 2024 mar</w:t>
            </w:r>
            <w:r w:rsidR="00445909">
              <w:rPr>
                <w:rFonts w:ascii="Marianne" w:eastAsia="Calibri" w:hAnsi="Marianne" w:cs="Calibri"/>
                <w:sz w:val="19"/>
                <w:szCs w:val="19"/>
              </w:rPr>
              <w:t>que le lancement de 3 nouveaux G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roupes de travail (GT) thématiques. En effet, les travaux préalablement réalisés autour des différent</w:t>
            </w:r>
            <w:r w:rsidR="00BC1358">
              <w:rPr>
                <w:rFonts w:ascii="Marianne" w:eastAsia="Calibri" w:hAnsi="Marianne" w:cs="Calibri"/>
                <w:sz w:val="19"/>
                <w:szCs w:val="19"/>
              </w:rPr>
              <w:t>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s cibles populationnelles et les réflexions des instances stratégiques ont mis en exergue la néces</w:t>
            </w:r>
            <w:r w:rsidR="00BC1358">
              <w:rPr>
                <w:rFonts w:ascii="Marianne" w:eastAsia="Calibri" w:hAnsi="Marianne" w:cs="Calibri"/>
                <w:sz w:val="19"/>
                <w:szCs w:val="19"/>
              </w:rPr>
              <w:t>sité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d’identifier des axes prioritaires dans notre </w:t>
            </w:r>
            <w:r w:rsidR="00BC1358">
              <w:rPr>
                <w:rFonts w:ascii="Marianne" w:eastAsia="Calibri" w:hAnsi="Marianne" w:cs="Calibri"/>
                <w:sz w:val="19"/>
                <w:szCs w:val="19"/>
              </w:rPr>
              <w:t>p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lan d’</w:t>
            </w:r>
            <w:r w:rsidR="00BC1358"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ction : </w:t>
            </w:r>
            <w:r w:rsidRPr="00456DC3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l’ostéoporose, </w:t>
            </w:r>
            <w:proofErr w:type="gramStart"/>
            <w:r w:rsidRPr="00456DC3">
              <w:rPr>
                <w:rFonts w:ascii="Marianne" w:eastAsia="Calibri" w:hAnsi="Marianne" w:cs="Calibri"/>
                <w:b/>
                <w:sz w:val="19"/>
                <w:szCs w:val="19"/>
              </w:rPr>
              <w:t>la iatrogénie</w:t>
            </w:r>
            <w:proofErr w:type="gramEnd"/>
            <w:r w:rsidRPr="00456DC3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 médicamenteuse et le parcours du primo-chuteur.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>Ces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 xml:space="preserve"> 3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GT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>ont été animés par l’ARS ARA et le Gérontopôle AURA</w:t>
            </w:r>
            <w:r w:rsidR="004D1741"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160E9BD3" w14:textId="77777777" w:rsidR="004D1741" w:rsidRP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Ostéoporose (</w:t>
            </w:r>
            <w:proofErr w:type="spellStart"/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fracturaire</w:t>
            </w:r>
            <w:proofErr w:type="spellEnd"/>
            <w:r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>)</w:t>
            </w:r>
          </w:p>
          <w:p w14:paraId="497CA566" w14:textId="77777777" w:rsidR="004D1741" w:rsidRP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La premièr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e réunion a eu lieu le 29 avril. E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lle a réuni des représentants du CHU de Grenoble, de la CPTS de Mauriac, du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Groupe de recherche et d’information sur les ostéoporoses (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GRIO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)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, de l’Association </w:t>
            </w:r>
            <w:proofErr w:type="spellStart"/>
            <w:r w:rsidRPr="004D1741">
              <w:rPr>
                <w:rFonts w:ascii="Marianne" w:eastAsia="Calibri" w:hAnsi="Marianne" w:cs="Calibri"/>
                <w:sz w:val="19"/>
                <w:szCs w:val="19"/>
              </w:rPr>
              <w:t>MedCo</w:t>
            </w:r>
            <w:proofErr w:type="spellEnd"/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69, des URPS pharmaciens et kinésithérapeutes, et de la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Direction régionale du service médical (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DRSM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) de l’Assurance maladie.</w:t>
            </w:r>
          </w:p>
          <w:p w14:paraId="4DE2194A" w14:textId="77777777" w:rsid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3 axes de travail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ont été proposés 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: </w:t>
            </w:r>
          </w:p>
          <w:p w14:paraId="75F1008C" w14:textId="17F103F4" w:rsidR="004D1741" w:rsidRDefault="004D1741" w:rsidP="004D1741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4D1741">
              <w:rPr>
                <w:rFonts w:ascii="Marianne" w:eastAsia="Calibri" w:hAnsi="Marianne" w:cs="Calibri"/>
                <w:sz w:val="19"/>
                <w:szCs w:val="19"/>
              </w:rPr>
              <w:t>ostéo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porose</w:t>
            </w:r>
            <w:proofErr w:type="gram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arianne" w:eastAsia="Calibri" w:hAnsi="Marianne" w:cs="Calibri"/>
                <w:sz w:val="19"/>
                <w:szCs w:val="19"/>
              </w:rPr>
              <w:t>fracturaire</w:t>
            </w:r>
            <w:proofErr w:type="spellEnd"/>
            <w:r>
              <w:rPr>
                <w:rFonts w:ascii="Marianne" w:eastAsia="Calibri" w:hAnsi="Marianne" w:cs="Calibri"/>
                <w:sz w:val="19"/>
                <w:szCs w:val="19"/>
              </w:rPr>
              <w:t>,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réflexion sur un parcours coordonné </w:t>
            </w:r>
            <w:r w:rsidR="00445909">
              <w:rPr>
                <w:rFonts w:ascii="Marianne" w:eastAsia="Calibri" w:hAnsi="Marianne" w:cs="Calibri"/>
                <w:sz w:val="19"/>
                <w:szCs w:val="19"/>
              </w:rPr>
              <w:t>en intégrant l’avis du dentiste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39AF04CE" w14:textId="43A243D0" w:rsidR="004D1741" w:rsidRDefault="00445909" w:rsidP="004D1741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ostéoporose</w:t>
            </w:r>
            <w:proofErr w:type="gram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non </w:t>
            </w:r>
            <w:proofErr w:type="spellStart"/>
            <w:r>
              <w:rPr>
                <w:rFonts w:ascii="Marianne" w:eastAsia="Calibri" w:hAnsi="Marianne" w:cs="Calibri"/>
                <w:sz w:val="19"/>
                <w:szCs w:val="19"/>
              </w:rPr>
              <w:t>fracturaire</w:t>
            </w:r>
            <w:proofErr w:type="spell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dans le cadre de la prévention primaire</w:t>
            </w:r>
            <w:r w:rsidR="004D1741"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0A5815C0" w14:textId="77777777" w:rsidR="004D1741" w:rsidRPr="004D1741" w:rsidRDefault="004D1741" w:rsidP="004D1741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t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raitement</w:t>
            </w:r>
            <w:proofErr w:type="gramEnd"/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des pluri-chuteurs en ESMS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70472217" w14:textId="012DF751" w:rsidR="004D1741" w:rsidRP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Ce groupe de travail sera désormais élargi aux dentistes, podologue</w:t>
            </w:r>
            <w:r w:rsidR="00167FA7"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, ainsi qu’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aux DAPAP-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Maisons sport-santé (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MSS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)</w:t>
            </w:r>
            <w:r w:rsidR="00167FA7">
              <w:rPr>
                <w:rFonts w:ascii="Marianne" w:eastAsia="Calibri" w:hAnsi="Marianne" w:cs="Calibri"/>
                <w:sz w:val="19"/>
                <w:szCs w:val="19"/>
              </w:rPr>
              <w:t>.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Prochaine réunion prévue le 3 septembre.</w:t>
            </w:r>
          </w:p>
          <w:p w14:paraId="73F3C729" w14:textId="47FD8FEB" w:rsidR="004D1741" w:rsidRPr="004D1741" w:rsidRDefault="00167FA7" w:rsidP="00BC1358">
            <w:pPr>
              <w:spacing w:before="24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Iatrogénie médicamenteuse </w:t>
            </w:r>
          </w:p>
          <w:p w14:paraId="6A2C6501" w14:textId="36817079" w:rsidR="004D1741" w:rsidRP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La première réunion a eu lieu le 15 mai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. E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lle a réuni les gériatres et pharmaciens qui travaillent, avec l’OMEDIT et l’ARS ARA depuis plusieurs années, à 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l’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o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ptimisation de la 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p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rise 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e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n 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c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harge 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m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édicamenteuse du 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s</w:t>
            </w:r>
            <w:r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ujet </w:t>
            </w:r>
            <w:r w:rsidR="0000192B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âgé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sur </w:t>
            </w:r>
            <w:r w:rsidR="00A905F6" w:rsidRPr="004D1741">
              <w:rPr>
                <w:rFonts w:ascii="Marianne" w:eastAsia="Calibri" w:hAnsi="Marianne" w:cs="Calibri"/>
                <w:sz w:val="19"/>
                <w:szCs w:val="19"/>
              </w:rPr>
              <w:t>les territoires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des 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établissements de santé d’Annecy, de Saint-É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tienne et de Grenoble.</w:t>
            </w:r>
          </w:p>
          <w:p w14:paraId="442BD3F8" w14:textId="77777777" w:rsidR="0000192B" w:rsidRDefault="0000192B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Plusieurs p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istes de travail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ont émergé,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avec 3 temporalités : </w:t>
            </w:r>
          </w:p>
          <w:p w14:paraId="606FAD8E" w14:textId="23B8183B" w:rsidR="0000192B" w:rsidRDefault="004D1741" w:rsidP="0000192B">
            <w:pPr>
              <w:pStyle w:val="Paragraphedeliste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00192B">
              <w:rPr>
                <w:rFonts w:ascii="Marianne" w:eastAsia="Calibri" w:hAnsi="Marianne" w:cs="Calibri"/>
                <w:sz w:val="19"/>
                <w:szCs w:val="19"/>
              </w:rPr>
              <w:lastRenderedPageBreak/>
              <w:t>à</w:t>
            </w:r>
            <w:proofErr w:type="gramEnd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 court terme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 : mettre</w:t>
            </w:r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 à disposit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 xml:space="preserve">ion des </w:t>
            </w:r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outils 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et u</w:t>
            </w:r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ne formation à destination des </w:t>
            </w:r>
            <w:r w:rsidR="00445909">
              <w:rPr>
                <w:rFonts w:ascii="Marianne" w:eastAsia="Calibri" w:hAnsi="Marianne" w:cs="Calibri"/>
                <w:sz w:val="19"/>
                <w:szCs w:val="19"/>
              </w:rPr>
              <w:t>Médecins coordonnateurs (</w:t>
            </w:r>
            <w:proofErr w:type="spellStart"/>
            <w:r w:rsidR="00445909">
              <w:rPr>
                <w:rFonts w:ascii="Marianne" w:eastAsia="Calibri" w:hAnsi="Marianne" w:cs="Calibri"/>
                <w:sz w:val="19"/>
                <w:szCs w:val="19"/>
              </w:rPr>
              <w:t>MedCo</w:t>
            </w:r>
            <w:proofErr w:type="spellEnd"/>
            <w:r w:rsidR="00445909">
              <w:rPr>
                <w:rFonts w:ascii="Marianne" w:eastAsia="Calibri" w:hAnsi="Marianne" w:cs="Calibri"/>
                <w:sz w:val="19"/>
                <w:szCs w:val="19"/>
              </w:rPr>
              <w:t xml:space="preserve">) </w:t>
            </w:r>
            <w:r w:rsidRPr="0000192B">
              <w:rPr>
                <w:rFonts w:ascii="Marianne" w:eastAsia="Calibri" w:hAnsi="Marianne" w:cs="Calibri"/>
                <w:sz w:val="19"/>
                <w:szCs w:val="19"/>
              </w:rPr>
              <w:t>et médecins traitant en EHPAD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 xml:space="preserve"> ; </w:t>
            </w:r>
          </w:p>
          <w:p w14:paraId="3761FFF8" w14:textId="4B880435" w:rsidR="0000192B" w:rsidRDefault="004D1741" w:rsidP="0000192B">
            <w:pPr>
              <w:pStyle w:val="Paragraphedeliste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>à</w:t>
            </w:r>
            <w:proofErr w:type="gramEnd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 moyen terme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 :</w:t>
            </w:r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 inscrire la iatrogénie médicamenteuse dans le parcours de santé du pri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mo-chuteur (lien avec le GT3) ;</w:t>
            </w:r>
          </w:p>
          <w:p w14:paraId="45A5AFB3" w14:textId="77777777" w:rsidR="0000192B" w:rsidRDefault="004D1741" w:rsidP="0000192B">
            <w:pPr>
              <w:pStyle w:val="Paragraphedeliste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>à</w:t>
            </w:r>
            <w:proofErr w:type="gramEnd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 long terme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 xml:space="preserve"> : </w:t>
            </w:r>
          </w:p>
          <w:p w14:paraId="0052415F" w14:textId="77777777" w:rsidR="0000192B" w:rsidRDefault="0000192B" w:rsidP="0000192B">
            <w:pPr>
              <w:pStyle w:val="Paragraphedeliste"/>
              <w:numPr>
                <w:ilvl w:val="1"/>
                <w:numId w:val="6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faire</w:t>
            </w:r>
            <w:proofErr w:type="gram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diffuser des </w:t>
            </w:r>
            <w:r w:rsidR="004D1741"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outils de communication grand public par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les pharmaciens ;</w:t>
            </w:r>
          </w:p>
          <w:p w14:paraId="6EA276BB" w14:textId="1E94727C" w:rsidR="0000192B" w:rsidRDefault="004D1741" w:rsidP="0000192B">
            <w:pPr>
              <w:pStyle w:val="Paragraphedeliste"/>
              <w:numPr>
                <w:ilvl w:val="1"/>
                <w:numId w:val="6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>former</w:t>
            </w:r>
            <w:proofErr w:type="gramEnd"/>
            <w:r w:rsidRPr="0000192B">
              <w:rPr>
                <w:rFonts w:ascii="Marianne" w:eastAsia="Calibri" w:hAnsi="Marianne" w:cs="Calibri"/>
                <w:sz w:val="19"/>
                <w:szCs w:val="19"/>
              </w:rPr>
              <w:t xml:space="preserve"> les animateurs des ateliers équilibre</w:t>
            </w:r>
            <w:r w:rsidR="0000192B">
              <w:rPr>
                <w:rFonts w:ascii="Marianne" w:eastAsia="Calibri" w:hAnsi="Marianne" w:cs="Calibri"/>
                <w:sz w:val="19"/>
                <w:szCs w:val="19"/>
              </w:rPr>
              <w:t> ;</w:t>
            </w:r>
          </w:p>
          <w:p w14:paraId="69B1DDFE" w14:textId="60BC747E" w:rsidR="004D1741" w:rsidRPr="0000192B" w:rsidRDefault="0000192B" w:rsidP="0000192B">
            <w:pPr>
              <w:pStyle w:val="Paragraphedeliste"/>
              <w:numPr>
                <w:ilvl w:val="1"/>
                <w:numId w:val="6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diffuser</w:t>
            </w:r>
            <w:proofErr w:type="gram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des idées–clé</w:t>
            </w:r>
            <w:r w:rsidR="00167FA7"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aux publics.</w:t>
            </w:r>
          </w:p>
          <w:p w14:paraId="679E3D73" w14:textId="2241A111" w:rsidR="004D1741" w:rsidRPr="004D1741" w:rsidRDefault="00601C58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P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our la prochaine réunion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,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c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e premier GT restreint va s’élargir aux EHPAD,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aux </w:t>
            </w:r>
            <w:proofErr w:type="spellStart"/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>MedCo</w:t>
            </w:r>
            <w:proofErr w:type="spellEnd"/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,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aux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représentants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de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conseils de l’ordre et URPS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médecins, CPTS,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MSP,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et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URPS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pharmaciens.</w:t>
            </w:r>
          </w:p>
          <w:p w14:paraId="3CA85F5C" w14:textId="6D91D176" w:rsidR="004D1741" w:rsidRPr="004D1741" w:rsidRDefault="00601C58" w:rsidP="00601C58">
            <w:pPr>
              <w:spacing w:before="240" w:after="120" w:line="240" w:lineRule="auto"/>
              <w:jc w:val="both"/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</w:pPr>
            <w:r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Parcours de santé du </w:t>
            </w:r>
            <w:r w:rsidR="004D1741" w:rsidRPr="004D1741">
              <w:rPr>
                <w:rFonts w:ascii="Marianne" w:eastAsia="Calibri" w:hAnsi="Marianne" w:cs="Calibri"/>
                <w:b/>
                <w:sz w:val="19"/>
                <w:szCs w:val="19"/>
                <w:shd w:val="clear" w:color="auto" w:fill="BBFFF2"/>
              </w:rPr>
              <w:t xml:space="preserve">primo-chuteur </w:t>
            </w:r>
          </w:p>
          <w:p w14:paraId="225F2C8F" w14:textId="3CEAAF32" w:rsidR="004D1741" w:rsidRPr="004D1741" w:rsidRDefault="004D1741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La première réunion a eu lieu le 22 mai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. E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lle a réuni des représentants de la plateforme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« R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appel post-chute SAMU 03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 »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,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 xml:space="preserve"> l’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URPS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masseurs-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kinésithérapeutes,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 xml:space="preserve">les 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CARSAT Auvergne et Rhône-Alpes,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l’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>URP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S i</w:t>
            </w:r>
            <w:r w:rsidR="00167FA7">
              <w:rPr>
                <w:rFonts w:ascii="Marianne" w:eastAsia="Calibri" w:hAnsi="Marianne" w:cs="Calibri"/>
                <w:sz w:val="19"/>
                <w:szCs w:val="19"/>
              </w:rPr>
              <w:t xml:space="preserve">nfirmiers,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des représentants de CPTS, l’Institut du v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ieillissement des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Hospices civils de Lyon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,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le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>CH Annecy-Genevois (CHANGE)</w:t>
            </w:r>
            <w:r w:rsidR="00167FA7">
              <w:rPr>
                <w:rFonts w:ascii="Marianne" w:eastAsia="Calibri" w:hAnsi="Marianne" w:cs="Calibri"/>
                <w:sz w:val="19"/>
                <w:szCs w:val="19"/>
              </w:rPr>
              <w:t xml:space="preserve"> et</w:t>
            </w:r>
            <w:r w:rsidR="00601C58">
              <w:rPr>
                <w:rFonts w:ascii="Marianne" w:eastAsia="Calibri" w:hAnsi="Marianne" w:cs="Calibri"/>
                <w:sz w:val="19"/>
                <w:szCs w:val="19"/>
              </w:rPr>
              <w:t xml:space="preserve"> le</w:t>
            </w:r>
            <w:r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DAPAP 42.</w:t>
            </w:r>
          </w:p>
          <w:p w14:paraId="383D1F26" w14:textId="379F0329" w:rsidR="004D1741" w:rsidRPr="004D1741" w:rsidRDefault="00601C58" w:rsidP="004D1741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Ce fut l’occasion de présenter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3 premiers parcours existants :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la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plateforme </w:t>
            </w:r>
            <w:r w:rsidR="00345111">
              <w:rPr>
                <w:rFonts w:ascii="Marianne" w:eastAsia="Calibri" w:hAnsi="Marianne" w:cs="Calibri"/>
                <w:sz w:val="19"/>
                <w:szCs w:val="19"/>
              </w:rPr>
              <w:t xml:space="preserve">du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CHANGE, </w:t>
            </w:r>
            <w:r w:rsidR="00345111">
              <w:rPr>
                <w:rFonts w:ascii="Marianne" w:eastAsia="Calibri" w:hAnsi="Marianne" w:cs="Calibri"/>
                <w:sz w:val="19"/>
                <w:szCs w:val="19"/>
              </w:rPr>
              <w:t xml:space="preserve">le suivi téléphonique assuré par le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CH </w:t>
            </w:r>
            <w:r w:rsidR="00445909">
              <w:rPr>
                <w:rFonts w:ascii="Marianne" w:eastAsia="Calibri" w:hAnsi="Marianne" w:cs="Calibri"/>
                <w:sz w:val="19"/>
                <w:szCs w:val="19"/>
              </w:rPr>
              <w:t>de Moulins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et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la </w:t>
            </w:r>
            <w:proofErr w:type="spellStart"/>
            <w:r>
              <w:rPr>
                <w:rFonts w:ascii="Marianne" w:eastAsia="Calibri" w:hAnsi="Marianne" w:cs="Calibri"/>
                <w:sz w:val="19"/>
                <w:szCs w:val="19"/>
              </w:rPr>
              <w:t>t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>éléexpertise</w:t>
            </w:r>
            <w:proofErr w:type="spellEnd"/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 via </w:t>
            </w:r>
            <w:proofErr w:type="spellStart"/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>Monsisra</w:t>
            </w:r>
            <w:proofErr w:type="spellEnd"/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60F55E55" w14:textId="61AA29AF" w:rsidR="00601C58" w:rsidRDefault="00601C58" w:rsidP="00601C58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Deux principaux c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onstats </w:t>
            </w:r>
            <w:r w:rsidR="00167FA7">
              <w:rPr>
                <w:rFonts w:ascii="Marianne" w:eastAsia="Calibri" w:hAnsi="Marianne" w:cs="Calibri"/>
                <w:sz w:val="19"/>
                <w:szCs w:val="19"/>
              </w:rPr>
              <w:t>ont été établis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 w:rsidR="004D1741" w:rsidRPr="004D1741">
              <w:rPr>
                <w:rFonts w:ascii="Marianne" w:eastAsia="Calibri" w:hAnsi="Marianne" w:cs="Calibri"/>
                <w:sz w:val="19"/>
                <w:szCs w:val="19"/>
              </w:rPr>
              <w:t xml:space="preserve">: </w:t>
            </w:r>
          </w:p>
          <w:p w14:paraId="027DC7DE" w14:textId="456C682A" w:rsidR="00601C58" w:rsidRDefault="00601C58" w:rsidP="00601C58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la</w:t>
            </w:r>
            <w:proofErr w:type="gram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 w:rsidR="004D1741" w:rsidRPr="00601C58">
              <w:rPr>
                <w:rFonts w:ascii="Marianne" w:eastAsia="Calibri" w:hAnsi="Marianne" w:cs="Calibri"/>
                <w:sz w:val="19"/>
                <w:szCs w:val="19"/>
              </w:rPr>
              <w:t xml:space="preserve">nécessité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de</w:t>
            </w:r>
            <w:r w:rsidR="004D1741" w:rsidRPr="00601C58">
              <w:rPr>
                <w:rFonts w:ascii="Marianne" w:eastAsia="Calibri" w:hAnsi="Marianne" w:cs="Calibri"/>
                <w:sz w:val="19"/>
                <w:szCs w:val="19"/>
              </w:rPr>
              <w:t xml:space="preserve"> </w:t>
            </w:r>
            <w:r w:rsidR="004D1741" w:rsidRPr="00601C58">
              <w:rPr>
                <w:rFonts w:ascii="Marianne" w:eastAsia="Calibri" w:hAnsi="Marianne" w:cs="Calibri"/>
                <w:b/>
                <w:sz w:val="19"/>
                <w:szCs w:val="19"/>
              </w:rPr>
              <w:t>continuité entre les différents parcours</w:t>
            </w:r>
            <w:r w:rsidR="004D1741" w:rsidRPr="00601C58">
              <w:rPr>
                <w:rFonts w:ascii="Marianne" w:eastAsia="Calibri" w:hAnsi="Marianne" w:cs="Calibri"/>
                <w:sz w:val="19"/>
                <w:szCs w:val="19"/>
              </w:rPr>
              <w:t>, qu’ils relèvent de la prévention pr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imaire, secondaire ou tertiaire ;</w:t>
            </w:r>
          </w:p>
          <w:p w14:paraId="3FDF8857" w14:textId="4ACCC9EA" w:rsidR="00601C58" w:rsidRDefault="00601C58" w:rsidP="00601C58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proofErr w:type="gramStart"/>
            <w:r>
              <w:rPr>
                <w:rFonts w:ascii="Marianne" w:eastAsia="Calibri" w:hAnsi="Marianne" w:cs="Calibri"/>
                <w:sz w:val="19"/>
                <w:szCs w:val="19"/>
              </w:rPr>
              <w:t>la</w:t>
            </w:r>
            <w:proofErr w:type="gramEnd"/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nécessité de </w:t>
            </w:r>
            <w:r w:rsidR="004D1741" w:rsidRPr="00167FA7">
              <w:rPr>
                <w:rFonts w:ascii="Marianne" w:eastAsia="Calibri" w:hAnsi="Marianne" w:cs="Calibri"/>
                <w:b/>
                <w:sz w:val="19"/>
                <w:szCs w:val="19"/>
              </w:rPr>
              <w:t>modélisation des parcours</w:t>
            </w:r>
            <w:r w:rsidR="004D1741" w:rsidRPr="00601C58">
              <w:rPr>
                <w:rFonts w:ascii="Marianne" w:eastAsia="Calibri" w:hAnsi="Marianne" w:cs="Calibri"/>
                <w:sz w:val="19"/>
                <w:szCs w:val="19"/>
              </w:rPr>
              <w:t xml:space="preserve"> au niveau départemental. </w:t>
            </w:r>
          </w:p>
          <w:p w14:paraId="7223A5CE" w14:textId="58F7D6C0" w:rsidR="004D1741" w:rsidRPr="00601C58" w:rsidRDefault="004D1741" w:rsidP="00601C58">
            <w:pPr>
              <w:spacing w:before="120"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601C58">
              <w:rPr>
                <w:rFonts w:ascii="Marianne" w:eastAsia="Calibri" w:hAnsi="Marianne" w:cs="Calibri"/>
                <w:sz w:val="19"/>
                <w:szCs w:val="19"/>
              </w:rPr>
              <w:t xml:space="preserve">Prochaine réunion le </w:t>
            </w:r>
            <w:r w:rsidR="00456DC3">
              <w:rPr>
                <w:rFonts w:ascii="Marianne" w:eastAsia="Calibri" w:hAnsi="Marianne" w:cs="Calibri"/>
                <w:sz w:val="19"/>
                <w:szCs w:val="19"/>
              </w:rPr>
              <w:t>24</w:t>
            </w:r>
            <w:r w:rsidRPr="00601C58">
              <w:rPr>
                <w:rFonts w:ascii="Marianne" w:eastAsia="Calibri" w:hAnsi="Marianne" w:cs="Calibri"/>
                <w:sz w:val="19"/>
                <w:szCs w:val="19"/>
              </w:rPr>
              <w:t xml:space="preserve"> septembre</w:t>
            </w:r>
            <w:r w:rsidR="001E6EB5">
              <w:rPr>
                <w:rFonts w:ascii="Marianne" w:eastAsia="Calibri" w:hAnsi="Marianne" w:cs="Calibri"/>
                <w:sz w:val="19"/>
                <w:szCs w:val="19"/>
              </w:rPr>
              <w:t xml:space="preserve"> 2024</w:t>
            </w:r>
            <w:r w:rsidRPr="00601C58"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5C9CD6A1" w14:textId="2DC3F2A2" w:rsidR="004D1741" w:rsidRPr="004D1741" w:rsidRDefault="00A905F6" w:rsidP="00167FA7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PLAN ANTICHUTE ET</w:t>
            </w:r>
            <w:r w:rsidR="004D1741" w:rsidRP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AMÉLIORATION DE LA PERTINENCE DES SOINS</w:t>
            </w:r>
          </w:p>
          <w:p w14:paraId="0BCA10B8" w14:textId="68F147E1" w:rsidR="00A905F6" w:rsidRPr="00A905F6" w:rsidRDefault="00A905F6" w:rsidP="00167FA7">
            <w:pPr>
              <w:spacing w:before="120" w:after="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A905F6">
              <w:rPr>
                <w:rFonts w:ascii="Marianne" w:eastAsia="Calibri" w:hAnsi="Marianne" w:cs="Calibri"/>
                <w:sz w:val="19"/>
                <w:szCs w:val="19"/>
              </w:rPr>
              <w:t>Les</w:t>
            </w:r>
            <w:r w:rsidR="00456DC3">
              <w:rPr>
                <w:rFonts w:ascii="Marianne" w:eastAsia="Calibri" w:hAnsi="Marianne" w:cs="Calibri"/>
                <w:sz w:val="19"/>
                <w:szCs w:val="19"/>
              </w:rPr>
              <w:t xml:space="preserve"> travaux des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 xml:space="preserve"> GT ostéoporose </w:t>
            </w:r>
            <w:proofErr w:type="spellStart"/>
            <w:r w:rsidRPr="00A905F6">
              <w:rPr>
                <w:rFonts w:ascii="Marianne" w:eastAsia="Calibri" w:hAnsi="Marianne" w:cs="Calibri"/>
                <w:sz w:val="19"/>
                <w:szCs w:val="19"/>
              </w:rPr>
              <w:t>fracturaire</w:t>
            </w:r>
            <w:proofErr w:type="spellEnd"/>
            <w:r w:rsidRPr="00A905F6">
              <w:rPr>
                <w:rFonts w:ascii="Marianne" w:eastAsia="Calibri" w:hAnsi="Marianne" w:cs="Calibri"/>
                <w:sz w:val="19"/>
                <w:szCs w:val="19"/>
              </w:rPr>
              <w:t xml:space="preserve"> et iatrogénie médicamenteuse viennent compléter le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P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>lan d’actions pluriannuel régional d’amélioration de la pertine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nce des soins (PAPRAPS) élaboré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 xml:space="preserve"> par l’I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nstance régionale d’amélioration de la pertinence des soins (I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>R</w:t>
            </w:r>
            <w:bookmarkStart w:id="0" w:name="_GoBack"/>
            <w:bookmarkEnd w:id="0"/>
            <w:r w:rsidRPr="00A905F6">
              <w:rPr>
                <w:rFonts w:ascii="Marianne" w:eastAsia="Calibri" w:hAnsi="Marianne" w:cs="Calibri"/>
                <w:sz w:val="19"/>
                <w:szCs w:val="19"/>
              </w:rPr>
              <w:t>APS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)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61F00E3A" w14:textId="3314E75B" w:rsidR="00A905F6" w:rsidRPr="00A905F6" w:rsidRDefault="00A905F6" w:rsidP="00167FA7">
            <w:pPr>
              <w:spacing w:after="120" w:line="240" w:lineRule="auto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 w:rsidRPr="00A905F6">
              <w:rPr>
                <w:rFonts w:ascii="Marianne" w:eastAsia="Calibri" w:hAnsi="Marianne" w:cs="Calibri"/>
                <w:sz w:val="19"/>
                <w:szCs w:val="19"/>
              </w:rPr>
              <w:t xml:space="preserve">Des réunions de travail ont lieu entre l’ARS, la DRSM et l’IRAPS sur ces deux thématiques afin de </w:t>
            </w:r>
            <w:r w:rsidRPr="004A179C">
              <w:rPr>
                <w:rFonts w:ascii="Marianne" w:eastAsia="Calibri" w:hAnsi="Marianne" w:cs="Calibri"/>
                <w:b/>
                <w:sz w:val="19"/>
                <w:szCs w:val="19"/>
              </w:rPr>
              <w:t>mettre en place des actions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 xml:space="preserve"> au travers de fiche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s</w:t>
            </w:r>
            <w:r w:rsidRPr="00A905F6">
              <w:rPr>
                <w:rFonts w:ascii="Marianne" w:eastAsia="Calibri" w:hAnsi="Marianne" w:cs="Calibri"/>
                <w:sz w:val="19"/>
                <w:szCs w:val="19"/>
              </w:rPr>
              <w:t xml:space="preserve"> projet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.</w:t>
            </w:r>
          </w:p>
          <w:p w14:paraId="44E5C9B9" w14:textId="515EA76D" w:rsidR="004D1741" w:rsidRPr="004D1741" w:rsidRDefault="00A905F6" w:rsidP="00A905F6">
            <w:pPr>
              <w:spacing w:before="360" w:after="120" w:line="240" w:lineRule="auto"/>
              <w:jc w:val="both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 w:rsidRP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 </w:t>
            </w:r>
            <w:r w:rsidR="004D1741" w:rsidRPr="004D1741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 xml:space="preserve">RESSOURCES </w:t>
            </w:r>
          </w:p>
          <w:p w14:paraId="44734ADC" w14:textId="77777777" w:rsidR="00A905F6" w:rsidRPr="004A179C" w:rsidRDefault="00A905F6" w:rsidP="004A179C">
            <w:pPr>
              <w:spacing w:before="120" w:after="120" w:line="240" w:lineRule="auto"/>
              <w:ind w:left="38"/>
              <w:jc w:val="both"/>
              <w:rPr>
                <w:rStyle w:val="Lienhypertexte"/>
                <w:rFonts w:ascii="Marianne" w:eastAsia="Calibri" w:hAnsi="Marianne" w:cs="Calibri"/>
                <w:b/>
                <w:color w:val="auto"/>
                <w:sz w:val="19"/>
                <w:szCs w:val="19"/>
                <w:u w:val="none"/>
              </w:rPr>
            </w:pPr>
            <w:r w:rsidRPr="004A179C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Haute autorité de santé (HAS) : </w:t>
            </w:r>
            <w:r>
              <w:rPr>
                <w:rFonts w:ascii="Marianne" w:eastAsia="Calibri" w:hAnsi="Marianne" w:cs="Calibri"/>
                <w:b/>
                <w:sz w:val="19"/>
                <w:szCs w:val="19"/>
              </w:rPr>
              <w:fldChar w:fldCharType="begin"/>
            </w:r>
            <w:r w:rsidRPr="004A179C">
              <w:rPr>
                <w:rFonts w:ascii="Marianne" w:eastAsia="Calibri" w:hAnsi="Marianne" w:cs="Calibri"/>
                <w:b/>
                <w:sz w:val="19"/>
                <w:szCs w:val="19"/>
              </w:rPr>
              <w:instrText xml:space="preserve"> HYPERLINK "https://www.has-sante.fr/jcms/c_2876862/fr/consultation-et-prescription-medicale-d-activite-physique-a-des-fins-de-sante" </w:instrText>
            </w:r>
            <w:r>
              <w:rPr>
                <w:rFonts w:ascii="Marianne" w:eastAsia="Calibri" w:hAnsi="Marianne" w:cs="Calibri"/>
                <w:b/>
                <w:sz w:val="19"/>
                <w:szCs w:val="19"/>
              </w:rPr>
              <w:fldChar w:fldCharType="separate"/>
            </w:r>
          </w:p>
          <w:p w14:paraId="30AAB5D9" w14:textId="2F0DDBB8" w:rsidR="004D1741" w:rsidRDefault="00A905F6" w:rsidP="004A179C">
            <w:pPr>
              <w:numPr>
                <w:ilvl w:val="1"/>
                <w:numId w:val="3"/>
              </w:numPr>
              <w:spacing w:before="120" w:after="12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Style w:val="Lienhypertexte"/>
                <w:rFonts w:ascii="Marianne" w:eastAsia="Calibri" w:hAnsi="Marianne" w:cs="Calibri"/>
                <w:sz w:val="19"/>
                <w:szCs w:val="19"/>
              </w:rPr>
              <w:t>G</w:t>
            </w:r>
            <w:r w:rsidRPr="00A905F6">
              <w:rPr>
                <w:rStyle w:val="Lienhypertexte"/>
                <w:rFonts w:ascii="Marianne" w:eastAsia="Calibri" w:hAnsi="Marianne" w:cs="Calibri"/>
                <w:sz w:val="19"/>
                <w:szCs w:val="19"/>
              </w:rPr>
              <w:t>uide de prescription de l’activité physique – outils pour les médecins et les patients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fldChar w:fldCharType="end"/>
            </w: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  </w:t>
            </w:r>
          </w:p>
          <w:p w14:paraId="41B2E594" w14:textId="0F20B7D8" w:rsidR="00A905F6" w:rsidRDefault="00A905F6" w:rsidP="004A179C">
            <w:pPr>
              <w:numPr>
                <w:ilvl w:val="1"/>
                <w:numId w:val="3"/>
              </w:numPr>
              <w:spacing w:before="120" w:after="12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Bonnes pratiques (mise à jour) - </w:t>
            </w:r>
            <w:hyperlink r:id="rId7" w:history="1">
              <w:r w:rsidRPr="00A905F6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Personnes âgées à risque de chute, prescription d’activité physique</w:t>
              </w:r>
            </w:hyperlink>
          </w:p>
          <w:p w14:paraId="75399D33" w14:textId="7BA65241" w:rsidR="00A905F6" w:rsidRDefault="00A905F6" w:rsidP="004A179C">
            <w:pPr>
              <w:numPr>
                <w:ilvl w:val="1"/>
                <w:numId w:val="3"/>
              </w:numPr>
              <w:spacing w:before="120" w:after="120" w:line="240" w:lineRule="auto"/>
              <w:ind w:left="747" w:hanging="284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 xml:space="preserve">Bonnes pratiques (mise à jour) – </w:t>
            </w:r>
            <w:hyperlink r:id="rId8" w:history="1">
              <w:r w:rsidRPr="00A905F6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Maintien des capacités motrices des personnes âgées, prescription d’activité physique</w:t>
              </w:r>
            </w:hyperlink>
          </w:p>
          <w:p w14:paraId="30EBFBD8" w14:textId="77777777" w:rsidR="004A179C" w:rsidRPr="004A179C" w:rsidRDefault="00A905F6" w:rsidP="004A179C">
            <w:pPr>
              <w:spacing w:before="120" w:after="120" w:line="240" w:lineRule="auto"/>
              <w:ind w:left="38"/>
              <w:jc w:val="both"/>
              <w:rPr>
                <w:rFonts w:ascii="Marianne" w:eastAsia="Calibri" w:hAnsi="Marianne" w:cs="Calibri"/>
                <w:b/>
                <w:sz w:val="19"/>
                <w:szCs w:val="19"/>
              </w:rPr>
            </w:pPr>
            <w:r w:rsidRPr="004A179C">
              <w:rPr>
                <w:rFonts w:ascii="Marianne" w:eastAsia="Calibri" w:hAnsi="Marianne" w:cs="Calibri"/>
                <w:b/>
                <w:sz w:val="19"/>
                <w:szCs w:val="19"/>
              </w:rPr>
              <w:t xml:space="preserve">Rapport </w:t>
            </w:r>
            <w:proofErr w:type="spellStart"/>
            <w:r w:rsidRPr="004A179C">
              <w:rPr>
                <w:rFonts w:ascii="Marianne" w:eastAsia="Calibri" w:hAnsi="Marianne" w:cs="Calibri"/>
                <w:b/>
                <w:sz w:val="19"/>
                <w:szCs w:val="19"/>
              </w:rPr>
              <w:t>Temprado</w:t>
            </w:r>
            <w:proofErr w:type="spellEnd"/>
          </w:p>
          <w:p w14:paraId="6FF97911" w14:textId="6324BD25" w:rsidR="004D1741" w:rsidRPr="004D1741" w:rsidRDefault="00456DC3" w:rsidP="004A179C">
            <w:pPr>
              <w:spacing w:before="120" w:after="120" w:line="240" w:lineRule="auto"/>
              <w:ind w:left="38"/>
              <w:jc w:val="both"/>
              <w:rPr>
                <w:rFonts w:ascii="Marianne" w:eastAsia="Calibri" w:hAnsi="Marianne" w:cs="Calibri"/>
                <w:sz w:val="19"/>
                <w:szCs w:val="19"/>
              </w:rPr>
            </w:pPr>
            <w:hyperlink r:id="rId9" w:history="1">
              <w:r w:rsidR="004A179C" w:rsidRPr="004A179C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A</w:t>
              </w:r>
              <w:r w:rsidR="00A905F6" w:rsidRPr="004A179C">
                <w:rPr>
                  <w:rStyle w:val="Lienhypertexte"/>
                  <w:rFonts w:ascii="Marianne" w:eastAsia="Calibri" w:hAnsi="Marianne" w:cs="Calibri"/>
                  <w:sz w:val="19"/>
                  <w:szCs w:val="19"/>
                </w:rPr>
                <w:t>ctivité physique pour la prévention des troubles de la mobilité et du risque de chute au cours du vieillissement</w:t>
              </w:r>
            </w:hyperlink>
          </w:p>
        </w:tc>
      </w:tr>
      <w:tr w:rsidR="004D1741" w:rsidRPr="004D1741" w14:paraId="733F7E64" w14:textId="77777777" w:rsidTr="004D1741">
        <w:trPr>
          <w:jc w:val="center"/>
        </w:trPr>
        <w:tc>
          <w:tcPr>
            <w:tcW w:w="90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5D3C" w14:textId="77777777" w:rsidR="004D1741" w:rsidRPr="004D1741" w:rsidRDefault="004D1741" w:rsidP="004D1741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4D1741" w:rsidRPr="004D1741" w14:paraId="46D5D8D1" w14:textId="77777777" w:rsidTr="004D1741">
        <w:trPr>
          <w:jc w:val="center"/>
        </w:trPr>
        <w:tc>
          <w:tcPr>
            <w:tcW w:w="409" w:type="dxa"/>
            <w:vAlign w:val="center"/>
          </w:tcPr>
          <w:p w14:paraId="65E0B9FD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0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BE5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30B69FD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ARS Auvergne-Rhône-Alpes – Gérontopôle Auvergne Rhône-Alpes</w:t>
            </w:r>
          </w:p>
          <w:p w14:paraId="17EDFB09" w14:textId="77777777" w:rsidR="004D1741" w:rsidRPr="004D1741" w:rsidRDefault="004D1741" w:rsidP="004D1741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10" w:history="1">
              <w:r w:rsidRPr="004D1741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4D1741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11" w:history="1">
              <w:r w:rsidRPr="004D1741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14:paraId="1FC43FF2" w14:textId="77777777" w:rsidR="004D1741" w:rsidRPr="004D1741" w:rsidRDefault="004D1741" w:rsidP="004D1741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14:paraId="14EBA2B8" w14:textId="77777777" w:rsidR="004D1741" w:rsidRPr="004D1741" w:rsidRDefault="004D1741" w:rsidP="004D1741">
      <w:pPr>
        <w:spacing w:after="0" w:line="240" w:lineRule="auto"/>
        <w:rPr>
          <w:rFonts w:ascii="Marianne" w:eastAsia="Calibri" w:hAnsi="Marianne" w:cs="Times New Roman"/>
          <w:sz w:val="20"/>
        </w:rPr>
      </w:pPr>
    </w:p>
    <w:p w14:paraId="36220B4C" w14:textId="77777777" w:rsidR="009A35CE" w:rsidRDefault="00456DC3"/>
    <w:sectPr w:rsidR="009A35CE" w:rsidSect="00456D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1D464B" w16cid:durableId="2A02FB92"/>
  <w16cid:commentId w16cid:paraId="221EA9CD" w16cid:durableId="2A02FB93"/>
  <w16cid:commentId w16cid:paraId="0F47B927" w16cid:durableId="2A02FBA9"/>
  <w16cid:commentId w16cid:paraId="0D64EF5F" w16cid:durableId="2A02FB94"/>
  <w16cid:commentId w16cid:paraId="65870E06" w16cid:durableId="2A02FB95"/>
  <w16cid:commentId w16cid:paraId="434E139C" w16cid:durableId="2A02FBC4"/>
  <w16cid:commentId w16cid:paraId="4903433F" w16cid:durableId="2A02FB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B51"/>
    <w:multiLevelType w:val="hybridMultilevel"/>
    <w:tmpl w:val="E7345E0C"/>
    <w:lvl w:ilvl="0" w:tplc="B860B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48D4"/>
    <w:multiLevelType w:val="hybridMultilevel"/>
    <w:tmpl w:val="9F90C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4B5"/>
    <w:multiLevelType w:val="hybridMultilevel"/>
    <w:tmpl w:val="24BC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337D"/>
    <w:multiLevelType w:val="hybridMultilevel"/>
    <w:tmpl w:val="EC38A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5DD8"/>
    <w:multiLevelType w:val="hybridMultilevel"/>
    <w:tmpl w:val="E776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D17CB"/>
    <w:multiLevelType w:val="hybridMultilevel"/>
    <w:tmpl w:val="E24C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2C59"/>
    <w:multiLevelType w:val="hybridMultilevel"/>
    <w:tmpl w:val="0CE4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1"/>
    <w:rsid w:val="0000192B"/>
    <w:rsid w:val="00033EC8"/>
    <w:rsid w:val="00167FA7"/>
    <w:rsid w:val="001E6EB5"/>
    <w:rsid w:val="00345111"/>
    <w:rsid w:val="003E2AB7"/>
    <w:rsid w:val="00445909"/>
    <w:rsid w:val="00456DC3"/>
    <w:rsid w:val="004A179C"/>
    <w:rsid w:val="004D1741"/>
    <w:rsid w:val="00601C58"/>
    <w:rsid w:val="00A905F6"/>
    <w:rsid w:val="00BC1358"/>
    <w:rsid w:val="00C87E33"/>
    <w:rsid w:val="00D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8EE"/>
  <w15:chartTrackingRefBased/>
  <w15:docId w15:val="{75B3C505-4FD7-4659-9CF9-CA64CB8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4D1741"/>
    <w:rPr>
      <w:color w:val="2323FF"/>
      <w:u w:val="single"/>
    </w:rPr>
  </w:style>
  <w:style w:type="character" w:styleId="Lienhypertexte">
    <w:name w:val="Hyperlink"/>
    <w:basedOn w:val="Policepardfaut"/>
    <w:uiPriority w:val="99"/>
    <w:unhideWhenUsed/>
    <w:rsid w:val="004D1741"/>
    <w:rPr>
      <w:color w:val="0563C1" w:themeColor="hyperlink"/>
      <w:u w:val="single"/>
    </w:rPr>
  </w:style>
  <w:style w:type="paragraph" w:styleId="Paragraphedeliste">
    <w:name w:val="List Paragraph"/>
    <w:aliases w:val="Listes,lp1,Paragraphe 3,§norme,Resume Title,Paragraphe de liste N1,Bullet Niv 1,Normal bullet 2,Bullet point 1,Puces n°1,NormTab,Puce niveau 0,Tiret1,P1 Pharos,Listes Puce,Puce tableau,Puces 1er niveau,List Paragraph1,article,normal"/>
    <w:basedOn w:val="Normal"/>
    <w:link w:val="ParagraphedelisteCar"/>
    <w:uiPriority w:val="34"/>
    <w:qFormat/>
    <w:rsid w:val="004D17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D17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17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17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17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17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41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es Car,lp1 Car,Paragraphe 3 Car,§norme Car,Resume Title Car,Paragraphe de liste N1 Car,Bullet Niv 1 Car,Normal bullet 2 Car,Bullet point 1 Car,Puces n°1 Car,NormTab Car,Puce niveau 0 Car,Tiret1 Car,P1 Pharos Car,article Car"/>
    <w:basedOn w:val="Policepardfaut"/>
    <w:link w:val="Paragraphedeliste"/>
    <w:uiPriority w:val="34"/>
    <w:locked/>
    <w:rsid w:val="00A905F6"/>
  </w:style>
  <w:style w:type="character" w:styleId="Lienhypertextesuivivisit">
    <w:name w:val="FollowedHyperlink"/>
    <w:basedOn w:val="Policepardfaut"/>
    <w:uiPriority w:val="99"/>
    <w:semiHidden/>
    <w:unhideWhenUsed/>
    <w:rsid w:val="004A1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-sante.fr/upload/docs/application/pdf/2024-04/synthese_aps_icop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has-sante.fr/upload/docs/application/pdf/2024-04/synthese_aps_personnes_agees_a_risque_de_chute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tact.gerontopole@gerontopole-aura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s-ara-da-qualite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e-sante.creps-vichy.sports.gouv.fr/wp-content/uploads/2024/04/RAPPORT-TEMPRADO-Activite-physique-pour-la-prevention-des-troubles-de-la-mobilite-et-du-risque-de-chute.pdf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8BB55-2415-4738-ADD8-9A593D5C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6</cp:revision>
  <dcterms:created xsi:type="dcterms:W3CDTF">2024-06-03T15:36:00Z</dcterms:created>
  <dcterms:modified xsi:type="dcterms:W3CDTF">2024-07-01T13:52:00Z</dcterms:modified>
</cp:coreProperties>
</file>